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Micro Case 19 – </w:t>
      </w:r>
      <w:r w:rsidDel="00000000" w:rsidR="00000000" w:rsidRPr="00000000">
        <w:rPr>
          <w:rFonts w:eastAsia="Times New Roman" w:ascii="Times New Roman" w:hAnsi="Times New Roman" w:cs="Times New Roman"/>
          <w:b w:val="1"/>
          <w:i w:val="1"/>
          <w:sz w:val="24"/>
          <w:highlight w:val="none"/>
          <w:rtl w:val="0"/>
        </w:rPr>
        <w:t xml:space="preserve">Coccidioides immitis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 (coccidioidomycosis)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1.     </w:t>
        <w:tab/>
        <w:t xml:space="preserve">  Signs and symptoms for the disease it produces.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Pt had 3 week history of fever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Night sweats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Headache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Joint pains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Dry cough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Severe fatigue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Weight loss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Pt had just returned from Phoenix, AZ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1"/>
          <w:numId w:val="2"/>
        </w:numPr>
        <w:spacing w:line="276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Disease is endemic to southwestern U.S.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Erythema nodosum 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lesions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2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CXR showing infiltrates in both lungs w/ cavity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2.             The source of infectious organism.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i w:val="1"/>
          <w:sz w:val="24"/>
          <w:highlight w:val="none"/>
          <w:rtl w:val="0"/>
        </w:rPr>
        <w:t xml:space="preserve">Coccidioides immitis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3.             The manner of exposure, route of infection, tissues that they reside and, where appropriate, transmission to others.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>
        <w:numPr>
          <w:ilvl w:val="0"/>
          <w:numId w:val="5"/>
        </w:numPr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Endemic in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southwestern United States, California (San Joaquin Valley),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and western half of Texas</w:t>
      </w:r>
    </w:p>
    <w:p w:rsidDel="00000000" w:rsidRDefault="00000000" w:rsidR="00000000" w:rsidRPr="00000000" w:rsidP="00000000">
      <w:pPr>
        <w:numPr>
          <w:ilvl w:val="0"/>
          <w:numId w:val="5"/>
        </w:numPr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Also found in regions of Mexico</w:t>
      </w:r>
    </w:p>
    <w:p w:rsidDel="00000000" w:rsidRDefault="00000000" w:rsidR="00000000" w:rsidRPr="00000000" w:rsidP="00000000">
      <w:pPr>
        <w:numPr>
          <w:ilvl w:val="0"/>
          <w:numId w:val="5"/>
        </w:numPr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Arid soil in and around rodent burrows is a common reservoir for hyphae and arthroconidia</w:t>
      </w:r>
    </w:p>
    <w:p w:rsidDel="00000000" w:rsidRDefault="00000000" w:rsidR="00000000" w:rsidRPr="00000000" w:rsidP="00000000">
      <w:pPr>
        <w:numPr>
          <w:ilvl w:val="0"/>
          <w:numId w:val="5"/>
        </w:numPr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Infection from inhaling arthroconidia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after disturbance of contaminated soil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4.             The pathology and the manner by which the particular disease develops and/or is induced, including damage caused by the pathogen and damage caused by the immune system’s response to the pathogen.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>
        <w:numPr>
          <w:ilvl w:val="0"/>
          <w:numId w:val="4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Arthroconidium is deposited in the terminal bronchiole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4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Transforms into a spherule and pyogenic inflammation is mounted w/ infiltrate of PMNs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4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Cell mediated immunity is important for recovery – get 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chronic granulomatous inflammation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1"/>
          <w:numId w:val="4"/>
        </w:numPr>
        <w:spacing w:line="276" w:after="0" w:lineRule="auto" w:before="0"/>
        <w:ind w:hanging="360" w:left="144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May get caseation w/o calcification leading to pulmonary lesions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4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Recovery usually followed by lifelong immunity, but can get reactivation, esp if immunocompromised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4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Dissemination to skin causes </w:t>
      </w: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erythema nodosum 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lesions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5.             Methods of identification and placement into a particular biological subset.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>
        <w:numPr>
          <w:ilvl w:val="0"/>
          <w:numId w:val="1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Direct microscopy 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to visualize fungal structures in silver, Giemsa, or Wright-stained biopsy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1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Serology: 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Immunodiffusion or Complement fixation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1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b w:val="1"/>
          <w:color w:val="000000"/>
          <w:sz w:val="24"/>
          <w:highlight w:val="none"/>
          <w:rtl w:val="0"/>
        </w:rPr>
        <w:t xml:space="preserve">Fungal cultures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i w:val="1"/>
          <w:sz w:val="24"/>
          <w:highlight w:val="none"/>
          <w:rtl w:val="0"/>
        </w:rPr>
        <w:t xml:space="preserve">C. immitis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is a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dimorphic fungus.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Forms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arthroconidia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when soil is disturbed, then become airborne. If inhaled, arthroconidia can reach pulmonary alveoli and transform into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thick-walled, nonbudding spherules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which produce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endospores.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Culture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requires prolonged incubation and yields light fluffy mold.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6.             Factors leading to enhanced resistance or susceptibility (e.g., recipients of vaccines, residence in geographic areas, types of work, immunodeficiency, alcoholism, age, violence/abuse, religious beliefs, etc.).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ind w:hanging="360" w:left="778"/>
      </w:pP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Immunocompromised at higher risk for reactivation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7.             Other organisms in the differential diagnosis and how to discriminate among potential causative agents.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>
        <w:numPr>
          <w:ilvl w:val="0"/>
          <w:numId w:val="3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Blastomycosis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3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Histoplasmosis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3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i w:val="1"/>
          <w:color w:val="000000"/>
          <w:sz w:val="24"/>
          <w:highlight w:val="none"/>
          <w:rtl w:val="0"/>
        </w:rPr>
        <w:t xml:space="preserve">Legionella</w:t>
      </w: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 or other atypical pneumonia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3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Nocardiosis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3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Pneumococcal pneumonia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3"/>
        </w:numPr>
        <w:spacing w:line="276" w:after="0" w:lineRule="auto" w:before="0"/>
        <w:ind w:hanging="360" w:left="720"/>
      </w:pPr>
      <w:r w:rsidDel="00000000" w:rsidR="00000000" w:rsidRPr="00000000">
        <w:rPr>
          <w:rFonts w:eastAsia="Times New Roman" w:ascii="Times New Roman" w:hAnsi="Times New Roman" w:cs="Times New Roman"/>
          <w:color w:val="000000"/>
          <w:sz w:val="24"/>
          <w:highlight w:val="none"/>
          <w:rtl w:val="0"/>
        </w:rPr>
        <w:t xml:space="preserve">TB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When making differential, consider the endemic fungi. Pneumococcus and </w:t>
      </w:r>
      <w:r w:rsidDel="00000000" w:rsidR="00000000" w:rsidRPr="00000000">
        <w:rPr>
          <w:rFonts w:eastAsia="Times New Roman" w:ascii="Times New Roman" w:hAnsi="Times New Roman" w:cs="Times New Roman"/>
          <w:i w:val="1"/>
          <w:sz w:val="24"/>
          <w:highlight w:val="none"/>
          <w:rtl w:val="0"/>
        </w:rPr>
        <w:t xml:space="preserve">Legionella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are more common causes of acute pneumonia than fungi and TB. </w:t>
      </w:r>
      <w:r w:rsidDel="00000000" w:rsidR="00000000" w:rsidRPr="00000000">
        <w:rPr>
          <w:rFonts w:eastAsia="Times New Roman" w:ascii="Times New Roman" w:hAnsi="Times New Roman" w:cs="Times New Roman"/>
          <w:i w:val="1"/>
          <w:sz w:val="24"/>
          <w:highlight w:val="none"/>
          <w:rtl w:val="0"/>
        </w:rPr>
        <w:t xml:space="preserve">Nocardia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can cause chronic sx but is less common in low risk patients.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8.             Prevention, treatment and vaccine design (live vs. dead).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</w:t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Fluconazole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or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Itraconazole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 for 3-6 months. </w:t>
      </w:r>
      <w:r w:rsidDel="00000000" w:rsidR="00000000" w:rsidRPr="00000000">
        <w:rPr>
          <w:rFonts w:eastAsia="Times New Roman" w:ascii="Times New Roman" w:hAnsi="Times New Roman" w:cs="Times New Roman"/>
          <w:b w:val="1"/>
          <w:sz w:val="24"/>
          <w:highlight w:val="none"/>
          <w:rtl w:val="0"/>
        </w:rPr>
        <w:t xml:space="preserve">Amphotericin B </w:t>
      </w:r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in severe pneumonia, particularly in immunocompromised individuals.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Fonts w:eastAsia="Times New Roman" w:ascii="Times New Roman" w:hAnsi="Times New Roman" w:cs="Times New Roman"/>
          <w:sz w:val="24"/>
          <w:highlight w:val="none"/>
          <w:rtl w:val="0"/>
        </w:rPr>
        <w:t xml:space="preserve">No vaccine. Hospitalized pts don’t require special infection control measures because there is no person-to-person spread.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firstLine="360" w:left="72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pPr>
        <w:ind w:firstLine="36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pPr>
        <w:ind w:firstLine="36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pPr>
        <w:ind w:firstLine="360" w:left="72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Times New Roman" w:ascii="Times New Roman" w:hAnsi="Times New Roman" w:cs="Times New Roman"/>
        <w:b w:val="1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pPr>
        <w:ind w:firstLine="36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0" w:lineRule="auto" w:before="0"/>
      <w:ind w:firstLine="0" w:left="0" w:right="0"/>
      <w:jc w:val="left"/>
    </w:pPr>
    <w:rPr>
      <w:rFonts w:eastAsia="Arial" w:ascii="Arial" w:hAnsi="Arial" w:cs="Arial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line="276" w:after="120" w:lineRule="auto" w:before="480"/>
      <w:ind w:firstLine="0" w:left="0" w:right="0"/>
      <w:jc w:val="left"/>
    </w:pPr>
    <w:rPr>
      <w:rFonts w:eastAsia="Arial" w:ascii="Arial" w:hAnsi="Arial" w:cs="Arial"/>
      <w:b w:val="1"/>
      <w:i w:val="0"/>
      <w:smallCaps w:val="0"/>
      <w:strike w:val="0"/>
      <w:color w:val="000000"/>
      <w:sz w:val="36"/>
      <w:highlight w:val="none"/>
      <w:u w:val="none"/>
      <w:vertAlign w:val="baseline"/>
    </w:rPr>
  </w:style>
  <w:style w:type="paragraph" w:styleId="Heading2">
    <w:name w:val="heading 2"/>
    <w:basedOn w:val="Normal"/>
    <w:next w:val="Normal"/>
    <w:pPr>
      <w:spacing w:line="276" w:after="80" w:lineRule="auto" w:before="360"/>
      <w:ind w:firstLine="0" w:left="0" w:right="0"/>
      <w:jc w:val="left"/>
    </w:pPr>
    <w:rPr>
      <w:rFonts w:eastAsia="Arial" w:ascii="Arial" w:hAnsi="Arial" w:cs="Arial"/>
      <w:b w:val="1"/>
      <w:i w:val="0"/>
      <w:smallCaps w:val="0"/>
      <w:strike w:val="0"/>
      <w:color w:val="000000"/>
      <w:sz w:val="28"/>
      <w:highlight w:val="none"/>
      <w:u w:val="none"/>
      <w:vertAlign w:val="baseline"/>
    </w:rPr>
  </w:style>
  <w:style w:type="paragraph" w:styleId="Heading3">
    <w:name w:val="heading 3"/>
    <w:basedOn w:val="Normal"/>
    <w:next w:val="Normal"/>
    <w:pPr>
      <w:spacing w:line="276" w:after="80" w:lineRule="auto" w:before="280"/>
      <w:ind w:firstLine="0" w:left="0" w:right="0"/>
      <w:jc w:val="left"/>
    </w:pPr>
    <w:rPr>
      <w:rFonts w:eastAsia="Arial" w:ascii="Arial" w:hAnsi="Arial" w:cs="Arial"/>
      <w:b w:val="1"/>
      <w:i w:val="0"/>
      <w:smallCaps w:val="0"/>
      <w:strike w:val="0"/>
      <w:color w:val="666666"/>
      <w:sz w:val="24"/>
      <w:highlight w:val="none"/>
      <w:u w:val="none"/>
      <w:vertAlign w:val="baseline"/>
    </w:rPr>
  </w:style>
  <w:style w:type="paragraph" w:styleId="Heading4">
    <w:name w:val="heading 4"/>
    <w:basedOn w:val="Normal"/>
    <w:next w:val="Normal"/>
    <w:pPr>
      <w:spacing w:line="276" w:after="40" w:lineRule="auto" w:before="240"/>
      <w:ind w:firstLine="0" w:left="0" w:right="0"/>
      <w:jc w:val="left"/>
    </w:pPr>
    <w:rPr>
      <w:rFonts w:eastAsia="Arial" w:ascii="Arial" w:hAnsi="Arial" w:cs="Arial"/>
      <w:b w:val="0"/>
      <w:i w:val="1"/>
      <w:smallCaps w:val="0"/>
      <w:strike w:val="0"/>
      <w:color w:val="666666"/>
      <w:sz w:val="22"/>
      <w:highlight w:val="none"/>
      <w:u w:val="none"/>
      <w:vertAlign w:val="baseline"/>
    </w:rPr>
  </w:style>
  <w:style w:type="paragraph" w:styleId="Heading5">
    <w:name w:val="heading 5"/>
    <w:basedOn w:val="Normal"/>
    <w:next w:val="Normal"/>
    <w:pPr>
      <w:spacing w:line="276" w:after="40" w:lineRule="auto" w:before="220"/>
      <w:ind w:firstLine="0" w:left="0" w:right="0"/>
      <w:jc w:val="left"/>
    </w:pPr>
    <w:rPr>
      <w:rFonts w:eastAsia="Arial" w:ascii="Arial" w:hAnsi="Arial" w:cs="Arial"/>
      <w:b w:val="1"/>
      <w:i w:val="0"/>
      <w:smallCaps w:val="0"/>
      <w:strike w:val="0"/>
      <w:color w:val="666666"/>
      <w:sz w:val="20"/>
      <w:highlight w:val="none"/>
      <w:u w:val="none"/>
      <w:vertAlign w:val="baseline"/>
    </w:rPr>
  </w:style>
  <w:style w:type="paragraph" w:styleId="Heading6">
    <w:name w:val="heading 6"/>
    <w:basedOn w:val="Normal"/>
    <w:next w:val="Normal"/>
    <w:pPr>
      <w:spacing w:line="276" w:after="40" w:lineRule="auto" w:before="200"/>
      <w:ind w:firstLine="0" w:left="0" w:right="0"/>
      <w:jc w:val="left"/>
    </w:pPr>
    <w:rPr>
      <w:rFonts w:eastAsia="Arial" w:ascii="Arial" w:hAnsi="Arial" w:cs="Arial"/>
      <w:b w:val="0"/>
      <w:i w:val="1"/>
      <w:smallCaps w:val="0"/>
      <w:strike w:val="0"/>
      <w:color w:val="666666"/>
      <w:sz w:val="20"/>
      <w:highlight w:val="none"/>
      <w:u w:val="none"/>
      <w:vertAlign w:val="baseline"/>
    </w:rPr>
  </w:style>
  <w:style w:type="paragraph" w:styleId="Title">
    <w:name w:val="Title"/>
    <w:basedOn w:val="Normal"/>
    <w:next w:val="Normal"/>
    <w:pPr>
      <w:spacing w:line="276" w:after="120" w:lineRule="auto" w:before="480"/>
      <w:ind w:firstLine="0" w:left="0" w:right="0"/>
      <w:jc w:val="left"/>
    </w:pPr>
    <w:rPr>
      <w:rFonts w:eastAsia="Arial" w:ascii="Arial" w:hAnsi="Arial" w:cs="Arial"/>
      <w:b w:val="1"/>
      <w:i w:val="0"/>
      <w:smallCaps w:val="0"/>
      <w:strike w:val="0"/>
      <w:color w:val="000000"/>
      <w:sz w:val="72"/>
      <w:highlight w:val="none"/>
      <w:u w:val="none"/>
      <w:vertAlign w:val="baseline"/>
    </w:rPr>
  </w:style>
  <w:style w:type="paragraph" w:styleId="Subtitle">
    <w:name w:val="Subtitle"/>
    <w:basedOn w:val="Normal"/>
    <w:next w:val="Normal"/>
    <w:pPr>
      <w:spacing w:line="276" w:after="80" w:lineRule="auto" w:before="360"/>
      <w:ind w:firstLine="0" w:left="0" w:right="0"/>
      <w:jc w:val="left"/>
    </w:pPr>
    <w:rPr>
      <w:rFonts w:eastAsia="Georgia" w:ascii="Georgia" w:hAnsi="Georgia" w:cs="Georgia"/>
      <w:b w:val="0"/>
      <w:i w:val="1"/>
      <w:smallCaps w:val="0"/>
      <w:strike w:val="0"/>
      <w:color w:val="666666"/>
      <w:sz w:val="48"/>
      <w:highlight w:val="none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19 – Coccidioides immitis.docx.docx</dc:title>
</cp:coreProperties>
</file>